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5000" w14:textId="77777777" w:rsidR="00A524D2" w:rsidRPr="00A524D2" w:rsidRDefault="00A524D2" w:rsidP="00A524D2">
      <w:pPr>
        <w:pBdr>
          <w:bottom w:val="single" w:sz="6" w:space="1" w:color="auto"/>
        </w:pBdr>
        <w:tabs>
          <w:tab w:val="left" w:pos="9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52"/>
          <w:szCs w:val="52"/>
        </w:rPr>
      </w:pPr>
      <w:r>
        <w:rPr>
          <w:rFonts w:eastAsia="Times New Roman" w:cs="Times New Roman"/>
          <w:noProof/>
          <w:color w:val="auto"/>
          <w:szCs w:val="24"/>
        </w:rPr>
        <w:drawing>
          <wp:inline distT="0" distB="0" distL="0" distR="0" wp14:anchorId="477453A8" wp14:editId="54BA28A0">
            <wp:extent cx="1034165" cy="1057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97" cy="106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CD6E3" w14:textId="77777777" w:rsidR="00A524D2" w:rsidRPr="00313D52" w:rsidRDefault="00A524D2" w:rsidP="00A524D2">
      <w:pPr>
        <w:pBdr>
          <w:bottom w:val="single" w:sz="6" w:space="1" w:color="auto"/>
        </w:pBdr>
        <w:tabs>
          <w:tab w:val="left" w:pos="9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12"/>
          <w:szCs w:val="52"/>
        </w:rPr>
      </w:pPr>
    </w:p>
    <w:p w14:paraId="3DAC6F7F" w14:textId="77777777" w:rsidR="00A524D2" w:rsidRPr="00A524D2" w:rsidRDefault="00A524D2" w:rsidP="00A524D2">
      <w:pPr>
        <w:pBdr>
          <w:bottom w:val="single" w:sz="6" w:space="1" w:color="auto"/>
        </w:pBdr>
        <w:tabs>
          <w:tab w:val="left" w:pos="9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48"/>
          <w:szCs w:val="48"/>
        </w:rPr>
      </w:pPr>
      <w:r w:rsidRPr="00A524D2">
        <w:rPr>
          <w:rFonts w:eastAsia="Times New Roman" w:cs="Times New Roman"/>
          <w:b/>
          <w:color w:val="auto"/>
          <w:sz w:val="32"/>
          <w:szCs w:val="52"/>
        </w:rPr>
        <w:t>Wentworth Place, A Condominium</w:t>
      </w:r>
    </w:p>
    <w:p w14:paraId="1B3E3B59" w14:textId="77777777" w:rsidR="00A524D2" w:rsidRDefault="00A524D2" w:rsidP="00A524D2">
      <w:pPr>
        <w:tabs>
          <w:tab w:val="left" w:pos="9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A524D2">
        <w:rPr>
          <w:rFonts w:eastAsia="Times New Roman" w:cs="Times New Roman"/>
          <w:b/>
          <w:color w:val="auto"/>
          <w:sz w:val="28"/>
          <w:szCs w:val="28"/>
        </w:rPr>
        <w:t>Unit  Owners’  Association</w:t>
      </w:r>
    </w:p>
    <w:p w14:paraId="3D778180" w14:textId="77777777" w:rsidR="00A524D2" w:rsidRPr="00313D52" w:rsidRDefault="00A524D2" w:rsidP="00A524D2">
      <w:pPr>
        <w:tabs>
          <w:tab w:val="left" w:pos="90"/>
        </w:tabs>
        <w:spacing w:after="0" w:line="240" w:lineRule="auto"/>
        <w:jc w:val="center"/>
        <w:rPr>
          <w:rFonts w:eastAsia="Times New Roman" w:cs="Times New Roman"/>
          <w:b/>
          <w:color w:val="auto"/>
          <w:sz w:val="12"/>
          <w:szCs w:val="28"/>
        </w:rPr>
      </w:pPr>
    </w:p>
    <w:p w14:paraId="2CAFDFDF" w14:textId="77777777" w:rsidR="007A4B8F" w:rsidRPr="003525E3" w:rsidRDefault="007A4B8F" w:rsidP="00CB2285">
      <w:pPr>
        <w:jc w:val="center"/>
        <w:rPr>
          <w:b/>
          <w:bCs/>
          <w:szCs w:val="9"/>
        </w:rPr>
      </w:pPr>
      <w:r w:rsidRPr="003525E3">
        <w:rPr>
          <w:b/>
          <w:bCs/>
          <w:szCs w:val="9"/>
        </w:rPr>
        <w:t>Moves check-list</w:t>
      </w:r>
    </w:p>
    <w:tbl>
      <w:tblPr>
        <w:tblStyle w:val="TableGrid"/>
        <w:tblW w:w="11322" w:type="dxa"/>
        <w:tblInd w:w="-252" w:type="dxa"/>
        <w:tblLook w:val="04A0" w:firstRow="1" w:lastRow="0" w:firstColumn="1" w:lastColumn="0" w:noHBand="0" w:noVBand="1"/>
      </w:tblPr>
      <w:tblGrid>
        <w:gridCol w:w="5400"/>
        <w:gridCol w:w="5922"/>
      </w:tblGrid>
      <w:tr w:rsidR="007A4B8F" w14:paraId="4ABACF7F" w14:textId="77777777" w:rsidTr="00170B6A">
        <w:tc>
          <w:tcPr>
            <w:tcW w:w="5400" w:type="dxa"/>
          </w:tcPr>
          <w:p w14:paraId="722C35B7" w14:textId="77777777" w:rsidR="007A4B8F" w:rsidRPr="00CB2285" w:rsidRDefault="007A4B8F" w:rsidP="00CB2285">
            <w:pPr>
              <w:jc w:val="center"/>
              <w:rPr>
                <w:b/>
              </w:rPr>
            </w:pPr>
            <w:r w:rsidRPr="00CB2285">
              <w:rPr>
                <w:b/>
              </w:rPr>
              <w:t>Move IN</w:t>
            </w:r>
          </w:p>
        </w:tc>
        <w:tc>
          <w:tcPr>
            <w:tcW w:w="5922" w:type="dxa"/>
          </w:tcPr>
          <w:p w14:paraId="2515A72A" w14:textId="77777777" w:rsidR="007A4B8F" w:rsidRPr="00CB2285" w:rsidRDefault="007A4B8F" w:rsidP="00CB2285">
            <w:pPr>
              <w:jc w:val="center"/>
              <w:rPr>
                <w:b/>
              </w:rPr>
            </w:pPr>
            <w:r w:rsidRPr="00CB2285">
              <w:rPr>
                <w:b/>
              </w:rPr>
              <w:t>Move OUT</w:t>
            </w:r>
          </w:p>
        </w:tc>
      </w:tr>
      <w:tr w:rsidR="007A4B8F" w14:paraId="6C36161A" w14:textId="77777777" w:rsidTr="00170B6A">
        <w:tc>
          <w:tcPr>
            <w:tcW w:w="5400" w:type="dxa"/>
          </w:tcPr>
          <w:p w14:paraId="7BB721C9" w14:textId="5D315DFE" w:rsidR="007A4B8F" w:rsidRDefault="007A4B8F">
            <w:r>
              <w:t xml:space="preserve">Mail to the Management Agent </w:t>
            </w:r>
            <w:r w:rsidR="007B0FCD">
              <w:t xml:space="preserve">14 </w:t>
            </w:r>
            <w:r w:rsidR="008B36DF">
              <w:t xml:space="preserve">calendar </w:t>
            </w:r>
            <w:r w:rsidR="007B0FCD">
              <w:t>days</w:t>
            </w:r>
            <w:r>
              <w:t xml:space="preserve"> prior to move date:</w:t>
            </w:r>
          </w:p>
          <w:p w14:paraId="3B981661" w14:textId="77777777" w:rsidR="007A4B8F" w:rsidRDefault="00A524D2" w:rsidP="00A524D2">
            <w:r>
              <w:t xml:space="preserve">.  </w:t>
            </w:r>
            <w:r w:rsidR="007A4B8F">
              <w:t>Move request form</w:t>
            </w:r>
          </w:p>
          <w:p w14:paraId="549F528A" w14:textId="77777777" w:rsidR="007A4B8F" w:rsidRDefault="00A524D2">
            <w:r>
              <w:t xml:space="preserve">.  </w:t>
            </w:r>
            <w:r w:rsidR="007A4B8F">
              <w:t>Non-refundable move-in fee</w:t>
            </w:r>
          </w:p>
          <w:p w14:paraId="7F2E6706" w14:textId="77777777" w:rsidR="007A4B8F" w:rsidRDefault="00A524D2">
            <w:r>
              <w:t xml:space="preserve">.  </w:t>
            </w:r>
            <w:r w:rsidR="007A4B8F">
              <w:t>Security deposit fee</w:t>
            </w:r>
          </w:p>
          <w:p w14:paraId="32334ACA" w14:textId="77777777" w:rsidR="0003357A" w:rsidRDefault="0003357A">
            <w:pPr>
              <w:rPr>
                <w:sz w:val="22"/>
              </w:rPr>
            </w:pPr>
            <w:r>
              <w:t xml:space="preserve">.  </w:t>
            </w:r>
            <w:r>
              <w:rPr>
                <w:sz w:val="22"/>
              </w:rPr>
              <w:t>Resident’s information form</w:t>
            </w:r>
          </w:p>
          <w:p w14:paraId="74C8F9BA" w14:textId="77777777" w:rsidR="00B40F92" w:rsidRDefault="00B40F92">
            <w:r>
              <w:t>.  Pet registration form</w:t>
            </w:r>
          </w:p>
          <w:p w14:paraId="5D21464F" w14:textId="77777777" w:rsidR="007A4B8F" w:rsidRDefault="00A524D2" w:rsidP="0003357A">
            <w:r>
              <w:t xml:space="preserve">.  </w:t>
            </w:r>
            <w:r w:rsidR="007A4B8F">
              <w:t xml:space="preserve">Copy of </w:t>
            </w:r>
            <w:r w:rsidR="007A4B8F" w:rsidRPr="00562971">
              <w:rPr>
                <w:sz w:val="22"/>
              </w:rPr>
              <w:t>closing/settlement papers showing proof of ownership, or an executed lease with dates of rental (if renting)</w:t>
            </w:r>
            <w:r w:rsidR="0003357A">
              <w:t xml:space="preserve"> </w:t>
            </w:r>
          </w:p>
        </w:tc>
        <w:tc>
          <w:tcPr>
            <w:tcW w:w="5922" w:type="dxa"/>
          </w:tcPr>
          <w:p w14:paraId="60933AB6" w14:textId="58BA5A6E" w:rsidR="007C722C" w:rsidRDefault="007C722C" w:rsidP="007C722C">
            <w:r>
              <w:t xml:space="preserve">Mail to the Management Agent </w:t>
            </w:r>
            <w:r w:rsidR="007B0FCD">
              <w:t xml:space="preserve">14 </w:t>
            </w:r>
            <w:r w:rsidR="002B08AD">
              <w:t xml:space="preserve">calendar </w:t>
            </w:r>
            <w:r w:rsidR="007B0FCD">
              <w:t>days</w:t>
            </w:r>
            <w:r>
              <w:t xml:space="preserve"> prior to move date:</w:t>
            </w:r>
          </w:p>
          <w:p w14:paraId="0B40352F" w14:textId="77777777" w:rsidR="007C722C" w:rsidRDefault="00A524D2" w:rsidP="007C722C">
            <w:r>
              <w:t xml:space="preserve">.  </w:t>
            </w:r>
            <w:r w:rsidR="007C722C">
              <w:t>Move request form</w:t>
            </w:r>
          </w:p>
          <w:p w14:paraId="3944F01E" w14:textId="77777777" w:rsidR="007C722C" w:rsidRDefault="00A524D2" w:rsidP="007C722C">
            <w:r>
              <w:t xml:space="preserve">.  </w:t>
            </w:r>
            <w:r w:rsidR="007C722C">
              <w:t>Security deposit fee</w:t>
            </w:r>
          </w:p>
          <w:p w14:paraId="24BC708A" w14:textId="77777777" w:rsidR="007A4B8F" w:rsidRDefault="007A4B8F"/>
        </w:tc>
      </w:tr>
      <w:tr w:rsidR="007C722C" w14:paraId="4A79FFA1" w14:textId="77777777" w:rsidTr="00170B6A">
        <w:tc>
          <w:tcPr>
            <w:tcW w:w="5400" w:type="dxa"/>
          </w:tcPr>
          <w:p w14:paraId="71FAD795" w14:textId="77777777" w:rsidR="007C722C" w:rsidRDefault="007C722C">
            <w:r>
              <w:t xml:space="preserve">Upon receipt of authorization, </w:t>
            </w:r>
            <w:r w:rsidR="000772A6">
              <w:t>code will be provided to obtain elevator key</w:t>
            </w:r>
          </w:p>
        </w:tc>
        <w:tc>
          <w:tcPr>
            <w:tcW w:w="5922" w:type="dxa"/>
          </w:tcPr>
          <w:p w14:paraId="3F2D5DF3" w14:textId="77777777" w:rsidR="007C722C" w:rsidRDefault="007C722C" w:rsidP="000772A6">
            <w:r>
              <w:t xml:space="preserve">Upon receipt of authorization, </w:t>
            </w:r>
            <w:r w:rsidR="000772A6">
              <w:t>code will be provided to obtain elevator key</w:t>
            </w:r>
          </w:p>
        </w:tc>
      </w:tr>
      <w:tr w:rsidR="007C722C" w14:paraId="0AE088B1" w14:textId="77777777" w:rsidTr="00170B6A">
        <w:tc>
          <w:tcPr>
            <w:tcW w:w="5400" w:type="dxa"/>
          </w:tcPr>
          <w:p w14:paraId="4550A0D9" w14:textId="77777777" w:rsidR="007C722C" w:rsidRDefault="000772A6">
            <w:r>
              <w:t xml:space="preserve">After the move, return </w:t>
            </w:r>
            <w:r w:rsidR="007D2EE2">
              <w:t xml:space="preserve">elevator </w:t>
            </w:r>
            <w:r>
              <w:t>key to lockbox</w:t>
            </w:r>
            <w:r w:rsidR="007C722C">
              <w:t xml:space="preserve">  </w:t>
            </w:r>
          </w:p>
        </w:tc>
        <w:tc>
          <w:tcPr>
            <w:tcW w:w="5922" w:type="dxa"/>
          </w:tcPr>
          <w:p w14:paraId="41378B1C" w14:textId="77777777" w:rsidR="007C722C" w:rsidRDefault="000772A6" w:rsidP="00DF53E3">
            <w:r>
              <w:t xml:space="preserve">After the move, return </w:t>
            </w:r>
            <w:r w:rsidR="007D2EE2">
              <w:t xml:space="preserve">elevator </w:t>
            </w:r>
            <w:r>
              <w:t xml:space="preserve">key to lockbox  </w:t>
            </w:r>
          </w:p>
        </w:tc>
      </w:tr>
      <w:tr w:rsidR="007C722C" w14:paraId="4A65945F" w14:textId="77777777" w:rsidTr="00170B6A">
        <w:tc>
          <w:tcPr>
            <w:tcW w:w="5400" w:type="dxa"/>
          </w:tcPr>
          <w:p w14:paraId="62E8A7C5" w14:textId="77777777" w:rsidR="007C722C" w:rsidRDefault="007C722C">
            <w:r>
              <w:t>Use only padded elevator for moving</w:t>
            </w:r>
          </w:p>
        </w:tc>
        <w:tc>
          <w:tcPr>
            <w:tcW w:w="5922" w:type="dxa"/>
          </w:tcPr>
          <w:p w14:paraId="1279169F" w14:textId="77777777" w:rsidR="007C722C" w:rsidRDefault="007C722C" w:rsidP="00DF53E3">
            <w:r>
              <w:t>Use only padded elevator for moving</w:t>
            </w:r>
          </w:p>
        </w:tc>
      </w:tr>
      <w:tr w:rsidR="007C722C" w14:paraId="61BEC6C0" w14:textId="77777777" w:rsidTr="00170B6A">
        <w:tc>
          <w:tcPr>
            <w:tcW w:w="5400" w:type="dxa"/>
          </w:tcPr>
          <w:p w14:paraId="35F9ECB6" w14:textId="77777777" w:rsidR="007C722C" w:rsidRDefault="007C722C"/>
        </w:tc>
        <w:tc>
          <w:tcPr>
            <w:tcW w:w="5922" w:type="dxa"/>
          </w:tcPr>
          <w:p w14:paraId="4FFAC0AF" w14:textId="77777777" w:rsidR="007C722C" w:rsidRDefault="002E6527">
            <w:r>
              <w:t>Transfer of keys for unit/storage bin-gym/mail box</w:t>
            </w:r>
          </w:p>
        </w:tc>
      </w:tr>
      <w:tr w:rsidR="00F74DF3" w14:paraId="3EE15D63" w14:textId="77777777" w:rsidTr="00170B6A">
        <w:tc>
          <w:tcPr>
            <w:tcW w:w="5400" w:type="dxa"/>
          </w:tcPr>
          <w:p w14:paraId="6EDB9108" w14:textId="77777777" w:rsidR="00F74DF3" w:rsidRDefault="00F74DF3" w:rsidP="000971DA">
            <w:r>
              <w:t>Provide telephone # for programming into callbox</w:t>
            </w:r>
          </w:p>
          <w:p w14:paraId="7857E593" w14:textId="77777777" w:rsidR="00E2600A" w:rsidRDefault="00E2600A" w:rsidP="000971DA">
            <w:r>
              <w:t>Provide email address to be added to listserv</w:t>
            </w:r>
            <w:r w:rsidR="007D2EE2">
              <w:t xml:space="preserve"> </w:t>
            </w:r>
          </w:p>
          <w:p w14:paraId="5F0F3A67" w14:textId="77777777" w:rsidR="007D2EE2" w:rsidRDefault="007D2EE2" w:rsidP="000971DA">
            <w:r>
              <w:t>(form available on website: wentworthplaceva.com)</w:t>
            </w:r>
          </w:p>
        </w:tc>
        <w:tc>
          <w:tcPr>
            <w:tcW w:w="5922" w:type="dxa"/>
          </w:tcPr>
          <w:p w14:paraId="664060F3" w14:textId="77777777" w:rsidR="00F74DF3" w:rsidRDefault="00F74DF3">
            <w:r>
              <w:t>Telephone #/directory code will be deleted from callbox</w:t>
            </w:r>
          </w:p>
          <w:p w14:paraId="4ED43AD2" w14:textId="77777777" w:rsidR="007D2EE2" w:rsidRDefault="007D2EE2">
            <w:r>
              <w:t xml:space="preserve">Email address will be deleted from listserv  </w:t>
            </w:r>
          </w:p>
        </w:tc>
      </w:tr>
      <w:tr w:rsidR="007C722C" w14:paraId="112CC600" w14:textId="77777777" w:rsidTr="00170B6A">
        <w:tc>
          <w:tcPr>
            <w:tcW w:w="5400" w:type="dxa"/>
          </w:tcPr>
          <w:p w14:paraId="66C8634C" w14:textId="77777777" w:rsidR="007C722C" w:rsidRDefault="007C722C" w:rsidP="000971DA"/>
        </w:tc>
        <w:tc>
          <w:tcPr>
            <w:tcW w:w="5922" w:type="dxa"/>
          </w:tcPr>
          <w:p w14:paraId="30964DA0" w14:textId="77777777" w:rsidR="007C722C" w:rsidRDefault="002E6527">
            <w:r>
              <w:t>Transfer of parking/pool passes</w:t>
            </w:r>
          </w:p>
        </w:tc>
      </w:tr>
      <w:tr w:rsidR="00625EBD" w14:paraId="7D0A1190" w14:textId="77777777" w:rsidTr="00170B6A">
        <w:tc>
          <w:tcPr>
            <w:tcW w:w="5400" w:type="dxa"/>
          </w:tcPr>
          <w:p w14:paraId="7DB49D6D" w14:textId="77777777" w:rsidR="00625EBD" w:rsidRDefault="00625EBD" w:rsidP="000971DA">
            <w:r>
              <w:t>Pet registration form - return to Management Agent</w:t>
            </w:r>
          </w:p>
        </w:tc>
        <w:tc>
          <w:tcPr>
            <w:tcW w:w="5922" w:type="dxa"/>
          </w:tcPr>
          <w:p w14:paraId="15085DFB" w14:textId="77777777" w:rsidR="00625EBD" w:rsidRDefault="00625EBD"/>
        </w:tc>
      </w:tr>
      <w:tr w:rsidR="007C722C" w14:paraId="598AADBE" w14:textId="77777777" w:rsidTr="00170B6A">
        <w:tc>
          <w:tcPr>
            <w:tcW w:w="5400" w:type="dxa"/>
          </w:tcPr>
          <w:p w14:paraId="0650C80A" w14:textId="77777777" w:rsidR="007C722C" w:rsidRDefault="007C722C" w:rsidP="0050309E">
            <w:r>
              <w:t xml:space="preserve">A master key to the unit must be provided to </w:t>
            </w:r>
            <w:r w:rsidR="0050309E">
              <w:t>Property Manager</w:t>
            </w:r>
            <w:r>
              <w:t xml:space="preserve"> for emergency purposes</w:t>
            </w:r>
          </w:p>
        </w:tc>
        <w:tc>
          <w:tcPr>
            <w:tcW w:w="5922" w:type="dxa"/>
          </w:tcPr>
          <w:p w14:paraId="6416CB86" w14:textId="606AF66D" w:rsidR="007C722C" w:rsidRPr="00791E54" w:rsidRDefault="00791E54">
            <w:pPr>
              <w:rPr>
                <w:b/>
                <w:color w:val="FF0000"/>
              </w:rPr>
            </w:pPr>
            <w:r w:rsidRPr="00791E54">
              <w:rPr>
                <w:b/>
                <w:color w:val="FF0000"/>
              </w:rPr>
              <w:t>P</w:t>
            </w:r>
            <w:r w:rsidR="00FB0B82">
              <w:rPr>
                <w:b/>
                <w:color w:val="FF0000"/>
              </w:rPr>
              <w:t xml:space="preserve">rovide </w:t>
            </w:r>
            <w:r w:rsidRPr="00791E54">
              <w:rPr>
                <w:b/>
                <w:color w:val="FF0000"/>
              </w:rPr>
              <w:t xml:space="preserve">forwarding address to Property Manager so that mail </w:t>
            </w:r>
            <w:r w:rsidR="002B08AD">
              <w:rPr>
                <w:b/>
                <w:color w:val="FF0000"/>
              </w:rPr>
              <w:t xml:space="preserve">/packages </w:t>
            </w:r>
            <w:r w:rsidRPr="00791E54">
              <w:rPr>
                <w:b/>
                <w:color w:val="FF0000"/>
              </w:rPr>
              <w:t xml:space="preserve">can be re-routed if needed.  </w:t>
            </w:r>
          </w:p>
        </w:tc>
      </w:tr>
      <w:tr w:rsidR="007C722C" w14:paraId="37F677CF" w14:textId="77777777" w:rsidTr="00170B6A">
        <w:tc>
          <w:tcPr>
            <w:tcW w:w="5400" w:type="dxa"/>
          </w:tcPr>
          <w:p w14:paraId="3838389A" w14:textId="77777777" w:rsidR="007C722C" w:rsidRDefault="007C722C" w:rsidP="004458CF">
            <w:r w:rsidRPr="0050309E">
              <w:rPr>
                <w:b/>
              </w:rPr>
              <w:t>Moves are permitted through the loading dock only</w:t>
            </w:r>
            <w:r w:rsidR="0050309E">
              <w:rPr>
                <w:b/>
              </w:rPr>
              <w:t xml:space="preserve"> and NOT through lobby</w:t>
            </w:r>
            <w:r w:rsidR="00292287">
              <w:rPr>
                <w:b/>
              </w:rPr>
              <w:t xml:space="preserve"> or stairwells</w:t>
            </w:r>
            <w:r w:rsidR="0050309E">
              <w:rPr>
                <w:b/>
              </w:rPr>
              <w:t>.</w:t>
            </w:r>
            <w:r w:rsidR="0050309E">
              <w:t xml:space="preserve">  T</w:t>
            </w:r>
            <w:r>
              <w:t>he back door MUST NOT be propped open and left unattended</w:t>
            </w:r>
          </w:p>
        </w:tc>
        <w:tc>
          <w:tcPr>
            <w:tcW w:w="5922" w:type="dxa"/>
          </w:tcPr>
          <w:p w14:paraId="5FE038F8" w14:textId="77777777" w:rsidR="007C722C" w:rsidRDefault="0050309E" w:rsidP="004458CF">
            <w:r w:rsidRPr="0050309E">
              <w:rPr>
                <w:b/>
              </w:rPr>
              <w:t>Moves are permitted through the loading dock only</w:t>
            </w:r>
            <w:r>
              <w:rPr>
                <w:b/>
              </w:rPr>
              <w:t xml:space="preserve"> and NOT through lobby</w:t>
            </w:r>
            <w:r w:rsidR="00292287">
              <w:rPr>
                <w:b/>
              </w:rPr>
              <w:t xml:space="preserve"> or stairwells </w:t>
            </w:r>
            <w:r>
              <w:rPr>
                <w:b/>
              </w:rPr>
              <w:t>.</w:t>
            </w:r>
            <w:r>
              <w:t xml:space="preserve">  The back door MUST NOT be propped open and left unattended</w:t>
            </w:r>
          </w:p>
        </w:tc>
      </w:tr>
      <w:tr w:rsidR="007C722C" w14:paraId="2AB14AB3" w14:textId="77777777" w:rsidTr="00170B6A">
        <w:tc>
          <w:tcPr>
            <w:tcW w:w="5400" w:type="dxa"/>
          </w:tcPr>
          <w:p w14:paraId="055F0164" w14:textId="585625F4" w:rsidR="007C722C" w:rsidRDefault="007C722C">
            <w:r>
              <w:t>Move hours are Monday-Saturday from 9:00</w:t>
            </w:r>
            <w:r w:rsidR="00FA03C1">
              <w:t>am</w:t>
            </w:r>
            <w:r>
              <w:t xml:space="preserve"> to 5:00pm.  </w:t>
            </w:r>
            <w:r w:rsidRPr="007D2EE2">
              <w:rPr>
                <w:b/>
              </w:rPr>
              <w:t xml:space="preserve">No moves </w:t>
            </w:r>
            <w:r w:rsidR="00FB0B82">
              <w:rPr>
                <w:b/>
              </w:rPr>
              <w:t xml:space="preserve">evenings/at night, </w:t>
            </w:r>
            <w:r w:rsidRPr="007D2EE2">
              <w:rPr>
                <w:b/>
              </w:rPr>
              <w:t>Sunday</w:t>
            </w:r>
            <w:r w:rsidR="00FB0B82">
              <w:rPr>
                <w:b/>
              </w:rPr>
              <w:t xml:space="preserve">s &amp; holidays. </w:t>
            </w:r>
          </w:p>
        </w:tc>
        <w:tc>
          <w:tcPr>
            <w:tcW w:w="5922" w:type="dxa"/>
          </w:tcPr>
          <w:p w14:paraId="28C50DDB" w14:textId="75128053" w:rsidR="007C722C" w:rsidRDefault="007C722C" w:rsidP="00DF53E3">
            <w:r>
              <w:t>Move hours are Monday-Saturday from 9:00</w:t>
            </w:r>
            <w:r w:rsidR="00FA03C1">
              <w:t>am</w:t>
            </w:r>
            <w:r>
              <w:t xml:space="preserve"> to 5:00pm.  </w:t>
            </w:r>
            <w:r w:rsidR="00FB0B82" w:rsidRPr="007D2EE2">
              <w:rPr>
                <w:b/>
              </w:rPr>
              <w:t xml:space="preserve">No moves </w:t>
            </w:r>
            <w:r w:rsidR="00FB0B82">
              <w:rPr>
                <w:b/>
              </w:rPr>
              <w:t xml:space="preserve">evenings/at night, </w:t>
            </w:r>
            <w:r w:rsidR="00FB0B82" w:rsidRPr="007D2EE2">
              <w:rPr>
                <w:b/>
              </w:rPr>
              <w:t>Sunday</w:t>
            </w:r>
            <w:r w:rsidR="00FB0B82">
              <w:rPr>
                <w:b/>
              </w:rPr>
              <w:t>s &amp; holidays.</w:t>
            </w:r>
          </w:p>
        </w:tc>
      </w:tr>
      <w:tr w:rsidR="007C722C" w14:paraId="5EE66C31" w14:textId="77777777" w:rsidTr="00170B6A">
        <w:tc>
          <w:tcPr>
            <w:tcW w:w="5400" w:type="dxa"/>
          </w:tcPr>
          <w:p w14:paraId="6E8B7B15" w14:textId="77777777" w:rsidR="007C722C" w:rsidRDefault="007C722C">
            <w:r>
              <w:t>Trash, debris must be taken to the trash dumpster</w:t>
            </w:r>
          </w:p>
        </w:tc>
        <w:tc>
          <w:tcPr>
            <w:tcW w:w="5922" w:type="dxa"/>
          </w:tcPr>
          <w:p w14:paraId="77FDCE76" w14:textId="77777777" w:rsidR="007C722C" w:rsidRDefault="007C722C" w:rsidP="00DF53E3">
            <w:r>
              <w:t>Trash, debris must be taken to the trash dumpster</w:t>
            </w:r>
          </w:p>
        </w:tc>
      </w:tr>
      <w:tr w:rsidR="007C722C" w14:paraId="75C84B85" w14:textId="77777777" w:rsidTr="00170B6A">
        <w:tc>
          <w:tcPr>
            <w:tcW w:w="5400" w:type="dxa"/>
          </w:tcPr>
          <w:p w14:paraId="48D18039" w14:textId="77777777" w:rsidR="007C722C" w:rsidRDefault="007C722C">
            <w:r>
              <w:t xml:space="preserve">Boxes must be broken down and placed in </w:t>
            </w:r>
            <w:r w:rsidR="00170B6A">
              <w:t xml:space="preserve">recycle </w:t>
            </w:r>
            <w:r>
              <w:t>bin outside of dumpster area</w:t>
            </w:r>
          </w:p>
        </w:tc>
        <w:tc>
          <w:tcPr>
            <w:tcW w:w="5922" w:type="dxa"/>
          </w:tcPr>
          <w:p w14:paraId="2830DE2E" w14:textId="77777777" w:rsidR="007C722C" w:rsidRDefault="007C722C" w:rsidP="00DF53E3">
            <w:r>
              <w:t xml:space="preserve">Boxes must be broken down and placed in </w:t>
            </w:r>
            <w:r w:rsidR="00170B6A">
              <w:t xml:space="preserve">recycle </w:t>
            </w:r>
            <w:r>
              <w:t>bin outside of dumpster area</w:t>
            </w:r>
          </w:p>
        </w:tc>
      </w:tr>
      <w:tr w:rsidR="007C722C" w14:paraId="604BB6A1" w14:textId="77777777" w:rsidTr="00170B6A">
        <w:tc>
          <w:tcPr>
            <w:tcW w:w="5400" w:type="dxa"/>
          </w:tcPr>
          <w:p w14:paraId="20063217" w14:textId="77777777" w:rsidR="007C722C" w:rsidRPr="000772A6" w:rsidRDefault="007D2EE2" w:rsidP="00BE2E20">
            <w:pPr>
              <w:rPr>
                <w:b/>
              </w:rPr>
            </w:pPr>
            <w:r w:rsidRPr="000772A6">
              <w:rPr>
                <w:b/>
              </w:rPr>
              <w:t>Unwanted furniture</w:t>
            </w:r>
            <w:r>
              <w:rPr>
                <w:b/>
              </w:rPr>
              <w:t>,</w:t>
            </w:r>
            <w:r w:rsidRPr="000772A6">
              <w:rPr>
                <w:b/>
              </w:rPr>
              <w:t xml:space="preserve"> large items</w:t>
            </w:r>
            <w:r>
              <w:rPr>
                <w:b/>
              </w:rPr>
              <w:t>, can be deposited by recycle bin for pickup per schedule.  Electronics (TVs, appliances, printers, etc.)</w:t>
            </w:r>
            <w:r w:rsidRPr="000772A6">
              <w:rPr>
                <w:b/>
              </w:rPr>
              <w:t xml:space="preserve"> MUST BE DISPOSED OF outside of the property and not discarded in the </w:t>
            </w:r>
            <w:r>
              <w:rPr>
                <w:b/>
              </w:rPr>
              <w:t xml:space="preserve">loading dock or </w:t>
            </w:r>
            <w:r w:rsidRPr="000772A6">
              <w:rPr>
                <w:b/>
              </w:rPr>
              <w:t>dumpster area</w:t>
            </w:r>
            <w:r>
              <w:rPr>
                <w:b/>
              </w:rPr>
              <w:t>.  NO ITEM to be left in loading dock.</w:t>
            </w:r>
          </w:p>
        </w:tc>
        <w:tc>
          <w:tcPr>
            <w:tcW w:w="5922" w:type="dxa"/>
          </w:tcPr>
          <w:p w14:paraId="28BC711A" w14:textId="77777777" w:rsidR="007C722C" w:rsidRPr="000772A6" w:rsidRDefault="00BE2E20" w:rsidP="007D2EE2">
            <w:pPr>
              <w:rPr>
                <w:b/>
              </w:rPr>
            </w:pPr>
            <w:r w:rsidRPr="000772A6">
              <w:rPr>
                <w:b/>
              </w:rPr>
              <w:t>Unwanted furniture</w:t>
            </w:r>
            <w:r>
              <w:rPr>
                <w:b/>
              </w:rPr>
              <w:t>,</w:t>
            </w:r>
            <w:r w:rsidRPr="000772A6">
              <w:rPr>
                <w:b/>
              </w:rPr>
              <w:t xml:space="preserve"> large items</w:t>
            </w:r>
            <w:r>
              <w:rPr>
                <w:b/>
              </w:rPr>
              <w:t xml:space="preserve">, </w:t>
            </w:r>
            <w:r w:rsidR="007D2EE2">
              <w:rPr>
                <w:b/>
              </w:rPr>
              <w:t>can be deposited by recycle bin for pickup per schedule.  E</w:t>
            </w:r>
            <w:r>
              <w:rPr>
                <w:b/>
              </w:rPr>
              <w:t>lectronics (TVs</w:t>
            </w:r>
            <w:r w:rsidR="007D2EE2">
              <w:rPr>
                <w:b/>
              </w:rPr>
              <w:t>, appliances, printers,</w:t>
            </w:r>
            <w:r>
              <w:rPr>
                <w:b/>
              </w:rPr>
              <w:t xml:space="preserve"> etc.)</w:t>
            </w:r>
            <w:r w:rsidRPr="000772A6">
              <w:rPr>
                <w:b/>
              </w:rPr>
              <w:t xml:space="preserve"> MUST BE DISPOSED OF outside of the property and not discarded in the </w:t>
            </w:r>
            <w:r>
              <w:rPr>
                <w:b/>
              </w:rPr>
              <w:t xml:space="preserve">loading dock or </w:t>
            </w:r>
            <w:r w:rsidRPr="000772A6">
              <w:rPr>
                <w:b/>
              </w:rPr>
              <w:t>dumpster area</w:t>
            </w:r>
            <w:r w:rsidR="007D2EE2">
              <w:rPr>
                <w:b/>
              </w:rPr>
              <w:t xml:space="preserve">.  NO ITEM to be left in loading dock. </w:t>
            </w:r>
          </w:p>
        </w:tc>
      </w:tr>
    </w:tbl>
    <w:p w14:paraId="53AA2391" w14:textId="77777777" w:rsidR="000772A6" w:rsidRPr="007E2089" w:rsidRDefault="000772A6">
      <w:pPr>
        <w:rPr>
          <w:sz w:val="12"/>
        </w:rPr>
      </w:pPr>
    </w:p>
    <w:p w14:paraId="41234CCA" w14:textId="77777777" w:rsidR="00CB2285" w:rsidRDefault="00CB2285">
      <w:pPr>
        <w:rPr>
          <w:b/>
          <w:sz w:val="28"/>
        </w:rPr>
      </w:pPr>
      <w:r w:rsidRPr="006267B0">
        <w:rPr>
          <w:b/>
          <w:sz w:val="28"/>
        </w:rPr>
        <w:t>All damages will be the responsibility of the unit owner.</w:t>
      </w:r>
    </w:p>
    <w:p w14:paraId="0245B66E" w14:textId="77777777" w:rsidR="00637D5A" w:rsidRPr="007E2089" w:rsidRDefault="00637D5A">
      <w:pPr>
        <w:rPr>
          <w:b/>
          <w:sz w:val="36"/>
        </w:rPr>
      </w:pPr>
      <w:r w:rsidRPr="007E2089">
        <w:rPr>
          <w:b/>
          <w:sz w:val="28"/>
        </w:rPr>
        <w:t xml:space="preserve">Failure to abide by the move policy will be subject to violation fine(s).    </w:t>
      </w:r>
    </w:p>
    <w:sectPr w:rsidR="00637D5A" w:rsidRPr="007E2089" w:rsidSect="007D2EE2">
      <w:pgSz w:w="12240" w:h="15840"/>
      <w:pgMar w:top="360" w:right="81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0218"/>
    <w:multiLevelType w:val="hybridMultilevel"/>
    <w:tmpl w:val="3FF6210A"/>
    <w:lvl w:ilvl="0" w:tplc="0212C4BE">
      <w:start w:val="4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6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8F"/>
    <w:rsid w:val="0003357A"/>
    <w:rsid w:val="000772A6"/>
    <w:rsid w:val="000971DA"/>
    <w:rsid w:val="001317AE"/>
    <w:rsid w:val="00154B7B"/>
    <w:rsid w:val="00170B6A"/>
    <w:rsid w:val="00264E03"/>
    <w:rsid w:val="00292287"/>
    <w:rsid w:val="002B08AD"/>
    <w:rsid w:val="002E6527"/>
    <w:rsid w:val="00313D52"/>
    <w:rsid w:val="003525E3"/>
    <w:rsid w:val="00354E16"/>
    <w:rsid w:val="00404BDB"/>
    <w:rsid w:val="004458CF"/>
    <w:rsid w:val="00485ACB"/>
    <w:rsid w:val="0050309E"/>
    <w:rsid w:val="00605C6C"/>
    <w:rsid w:val="00614CD0"/>
    <w:rsid w:val="00625EBD"/>
    <w:rsid w:val="006267B0"/>
    <w:rsid w:val="00637D5A"/>
    <w:rsid w:val="00690AF6"/>
    <w:rsid w:val="00791E54"/>
    <w:rsid w:val="007A4B8F"/>
    <w:rsid w:val="007B0FCD"/>
    <w:rsid w:val="007C722C"/>
    <w:rsid w:val="007D2EE2"/>
    <w:rsid w:val="007E2089"/>
    <w:rsid w:val="008B2194"/>
    <w:rsid w:val="008B36DF"/>
    <w:rsid w:val="009D00ED"/>
    <w:rsid w:val="009F30DE"/>
    <w:rsid w:val="00A2421F"/>
    <w:rsid w:val="00A4297B"/>
    <w:rsid w:val="00A524D2"/>
    <w:rsid w:val="00A54ACF"/>
    <w:rsid w:val="00AB7773"/>
    <w:rsid w:val="00B40F92"/>
    <w:rsid w:val="00BE2E20"/>
    <w:rsid w:val="00CB2285"/>
    <w:rsid w:val="00DD1010"/>
    <w:rsid w:val="00E2600A"/>
    <w:rsid w:val="00F446A0"/>
    <w:rsid w:val="00F74DF3"/>
    <w:rsid w:val="00FA03C1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B7EA"/>
  <w15:docId w15:val="{2FCF4466-C98B-444E-9E59-498FD95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color w:val="333333"/>
        <w:sz w:val="24"/>
        <w:szCs w:val="1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Christiane Eliopoulos</cp:lastModifiedBy>
  <cp:revision>5</cp:revision>
  <dcterms:created xsi:type="dcterms:W3CDTF">2023-02-08T20:50:00Z</dcterms:created>
  <dcterms:modified xsi:type="dcterms:W3CDTF">2023-02-08T21:00:00Z</dcterms:modified>
</cp:coreProperties>
</file>